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63005" w14:textId="795DD5D7" w:rsidR="00B216AD" w:rsidRPr="00EA5CD3" w:rsidRDefault="00B216AD" w:rsidP="00B216AD">
      <w:pPr>
        <w:pStyle w:val="Heading1"/>
        <w:rPr>
          <w:lang w:val="en-US"/>
        </w:rPr>
      </w:pPr>
      <w:r w:rsidRPr="21778862">
        <w:rPr>
          <w:lang w:val="en-US"/>
        </w:rPr>
        <w:t xml:space="preserve">SEMINE </w:t>
      </w:r>
      <w:r w:rsidR="008F3BA8">
        <w:rPr>
          <w:lang w:val="en-US"/>
        </w:rPr>
        <w:t>–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Xledger</w:t>
      </w:r>
      <w:proofErr w:type="spellEnd"/>
      <w:r w:rsidR="008F3BA8">
        <w:rPr>
          <w:lang w:val="en-US"/>
        </w:rPr>
        <w:t xml:space="preserve"> </w:t>
      </w:r>
      <w:r w:rsidR="008F3BA8" w:rsidRPr="21778862">
        <w:rPr>
          <w:lang w:val="en-US"/>
        </w:rPr>
        <w:t>Integration</w:t>
      </w:r>
    </w:p>
    <w:p w14:paraId="290328A4" w14:textId="77777777" w:rsidR="008F3BA8" w:rsidRDefault="008F3BA8" w:rsidP="00B216AD">
      <w:pPr>
        <w:rPr>
          <w:sz w:val="20"/>
          <w:szCs w:val="20"/>
          <w:lang w:val="en-US"/>
        </w:rPr>
      </w:pPr>
    </w:p>
    <w:p w14:paraId="794D17D0" w14:textId="1FE18049" w:rsidR="00B216AD" w:rsidRPr="004217AE" w:rsidRDefault="00B216AD" w:rsidP="00B216AD">
      <w:pPr>
        <w:rPr>
          <w:b/>
          <w:bCs/>
          <w:i/>
          <w:iCs/>
          <w:sz w:val="20"/>
          <w:szCs w:val="20"/>
          <w:lang w:val="en-US"/>
        </w:rPr>
      </w:pPr>
      <w:r w:rsidRPr="7B15CC11">
        <w:rPr>
          <w:sz w:val="20"/>
          <w:szCs w:val="20"/>
          <w:lang w:val="en-US"/>
        </w:rPr>
        <w:t xml:space="preserve">To secure an efficient implementation of SEMINE, please follow the instructions below regarding integration. The implementation project of SEMINE has a tight project schedule and integration is a vital part to achieve success. </w:t>
      </w:r>
      <w:r w:rsidRPr="7B15CC11">
        <w:rPr>
          <w:b/>
          <w:bCs/>
          <w:sz w:val="20"/>
          <w:szCs w:val="20"/>
          <w:lang w:val="en-US"/>
        </w:rPr>
        <w:t>Please confirm to the project manager in SEMINE when the required setup is done.</w:t>
      </w:r>
    </w:p>
    <w:tbl>
      <w:tblPr>
        <w:tblStyle w:val="TableGrid"/>
        <w:tblpPr w:leftFromText="141" w:rightFromText="141" w:vertAnchor="text" w:horzAnchor="margin" w:tblpY="184"/>
        <w:tblW w:w="5000" w:type="pct"/>
        <w:tblLook w:val="06A0" w:firstRow="1" w:lastRow="0" w:firstColumn="1" w:lastColumn="0" w:noHBand="1" w:noVBand="1"/>
      </w:tblPr>
      <w:tblGrid>
        <w:gridCol w:w="318"/>
        <w:gridCol w:w="6040"/>
        <w:gridCol w:w="2658"/>
      </w:tblGrid>
      <w:tr w:rsidR="00B216AD" w14:paraId="4321337C" w14:textId="77777777" w:rsidTr="00CB4A0F">
        <w:tc>
          <w:tcPr>
            <w:tcW w:w="148" w:type="pct"/>
            <w:shd w:val="clear" w:color="auto" w:fill="FFE7E4" w:themeFill="accent3" w:themeFillTint="33"/>
          </w:tcPr>
          <w:p w14:paraId="1D978B43" w14:textId="77777777" w:rsidR="00B216AD" w:rsidRPr="21778862" w:rsidRDefault="00B216AD" w:rsidP="00CB4A0F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364" w:type="pct"/>
            <w:shd w:val="clear" w:color="auto" w:fill="FFE7E4" w:themeFill="accent3" w:themeFillTint="33"/>
          </w:tcPr>
          <w:p w14:paraId="59C65730" w14:textId="77777777" w:rsidR="00B216AD" w:rsidRDefault="00B216AD" w:rsidP="00CB4A0F">
            <w:pPr>
              <w:rPr>
                <w:b/>
                <w:bCs/>
                <w:sz w:val="20"/>
                <w:szCs w:val="20"/>
                <w:lang w:val="en-US"/>
              </w:rPr>
            </w:pPr>
            <w:r w:rsidRPr="21778862">
              <w:rPr>
                <w:b/>
                <w:bCs/>
                <w:sz w:val="20"/>
                <w:szCs w:val="20"/>
                <w:lang w:val="en-US"/>
              </w:rPr>
              <w:t>T</w:t>
            </w:r>
            <w:r>
              <w:rPr>
                <w:b/>
                <w:bCs/>
                <w:sz w:val="20"/>
                <w:szCs w:val="20"/>
                <w:lang w:val="en-US"/>
              </w:rPr>
              <w:t>echnical tasks for Customer</w:t>
            </w:r>
          </w:p>
        </w:tc>
        <w:tc>
          <w:tcPr>
            <w:tcW w:w="1488" w:type="pct"/>
            <w:shd w:val="clear" w:color="auto" w:fill="FFE7E4" w:themeFill="accent3" w:themeFillTint="33"/>
          </w:tcPr>
          <w:p w14:paraId="290BC214" w14:textId="77777777" w:rsidR="00B216AD" w:rsidRDefault="00B216AD" w:rsidP="00CB4A0F">
            <w:pPr>
              <w:rPr>
                <w:b/>
                <w:bCs/>
                <w:sz w:val="20"/>
                <w:szCs w:val="20"/>
                <w:lang w:val="en-US"/>
              </w:rPr>
            </w:pPr>
            <w:r w:rsidRPr="21778862">
              <w:rPr>
                <w:b/>
                <w:bCs/>
                <w:sz w:val="20"/>
                <w:szCs w:val="20"/>
                <w:lang w:val="en-US"/>
              </w:rPr>
              <w:t>Responsible</w:t>
            </w:r>
          </w:p>
        </w:tc>
      </w:tr>
      <w:tr w:rsidR="00B216AD" w:rsidRPr="00D64F37" w14:paraId="62B8DEE5" w14:textId="77777777" w:rsidTr="00CB4A0F">
        <w:tc>
          <w:tcPr>
            <w:tcW w:w="148" w:type="pct"/>
          </w:tcPr>
          <w:p w14:paraId="6BC0FB0E" w14:textId="77777777" w:rsidR="00B216AD" w:rsidRDefault="00B216AD" w:rsidP="00CB4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64" w:type="pct"/>
          </w:tcPr>
          <w:p w14:paraId="656C2E36" w14:textId="77777777" w:rsidR="00B216AD" w:rsidRPr="00645A4A" w:rsidRDefault="00B216AD" w:rsidP="00CB4A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Fill in client related information in separate document:</w:t>
            </w:r>
            <w:r>
              <w:rPr>
                <w:sz w:val="20"/>
                <w:szCs w:val="20"/>
              </w:rPr>
              <w:br/>
            </w:r>
            <w:r w:rsidRPr="00192615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D01.01 – Semine Connect – Template for customer preparations_Xledger.xlsx</w:t>
            </w:r>
          </w:p>
        </w:tc>
        <w:tc>
          <w:tcPr>
            <w:tcW w:w="1488" w:type="pct"/>
          </w:tcPr>
          <w:p w14:paraId="0235BDA4" w14:textId="77777777" w:rsidR="00B216AD" w:rsidRDefault="00B216AD" w:rsidP="00CB4A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Customer</w:t>
            </w:r>
          </w:p>
        </w:tc>
      </w:tr>
      <w:tr w:rsidR="00B216AD" w:rsidRPr="00C723E0" w14:paraId="4B364110" w14:textId="77777777" w:rsidTr="00CB4A0F">
        <w:tc>
          <w:tcPr>
            <w:tcW w:w="148" w:type="pct"/>
          </w:tcPr>
          <w:p w14:paraId="694BD860" w14:textId="77777777" w:rsidR="00B216AD" w:rsidRDefault="00B216AD" w:rsidP="00CB4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64" w:type="pct"/>
          </w:tcPr>
          <w:p w14:paraId="1DB8BBE9" w14:textId="77777777" w:rsidR="00B216AD" w:rsidRDefault="00B216AD" w:rsidP="00CB4A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Generate API Token for domain entity with rights as specified below</w:t>
            </w:r>
          </w:p>
        </w:tc>
        <w:tc>
          <w:tcPr>
            <w:tcW w:w="1488" w:type="pct"/>
          </w:tcPr>
          <w:p w14:paraId="530D95BC" w14:textId="77777777" w:rsidR="00B216AD" w:rsidRDefault="00B216AD" w:rsidP="00CB4A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Customer/ IT Partner</w:t>
            </w:r>
          </w:p>
        </w:tc>
      </w:tr>
      <w:tr w:rsidR="00B216AD" w:rsidRPr="00B7294C" w14:paraId="048F4CD2" w14:textId="77777777" w:rsidTr="00CB4A0F">
        <w:tc>
          <w:tcPr>
            <w:tcW w:w="148" w:type="pct"/>
          </w:tcPr>
          <w:p w14:paraId="7B6ACEA3" w14:textId="77777777" w:rsidR="00B216AD" w:rsidRDefault="00B216AD" w:rsidP="00CB4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64" w:type="pct"/>
          </w:tcPr>
          <w:p w14:paraId="4B863C86" w14:textId="77777777" w:rsidR="00B216AD" w:rsidRDefault="00B216AD" w:rsidP="00CB4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Send the owner entity ID and API Token to Semine project manager</w:t>
            </w:r>
          </w:p>
        </w:tc>
        <w:tc>
          <w:tcPr>
            <w:tcW w:w="1488" w:type="pct"/>
          </w:tcPr>
          <w:p w14:paraId="77CCBD83" w14:textId="77777777" w:rsidR="00B216AD" w:rsidRDefault="00B216AD" w:rsidP="00CB4A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Customer/ IT Partner</w:t>
            </w:r>
          </w:p>
        </w:tc>
      </w:tr>
    </w:tbl>
    <w:p w14:paraId="0882BC14" w14:textId="77777777" w:rsidR="00B216AD" w:rsidRPr="001B2721" w:rsidRDefault="00B216AD" w:rsidP="00B216AD">
      <w:pPr>
        <w:rPr>
          <w:i/>
          <w:sz w:val="18"/>
          <w:szCs w:val="18"/>
          <w:lang w:val="en-US"/>
        </w:rPr>
      </w:pPr>
    </w:p>
    <w:p w14:paraId="1A76100D" w14:textId="77777777" w:rsidR="00B216AD" w:rsidRDefault="00B216AD" w:rsidP="00B216AD">
      <w:pPr>
        <w:rPr>
          <w:i/>
          <w:iCs/>
          <w:sz w:val="18"/>
          <w:szCs w:val="18"/>
          <w:lang w:val="en-US"/>
        </w:rPr>
      </w:pPr>
      <w:r w:rsidRPr="7B15CC11">
        <w:rPr>
          <w:i/>
          <w:iCs/>
          <w:sz w:val="18"/>
          <w:szCs w:val="18"/>
          <w:lang w:val="en-US"/>
        </w:rPr>
        <w:t>Please note that the customer is responsible for the tasks relating to their IT and ERP Partner. The project will not start before the technical tasks are in place.</w:t>
      </w:r>
    </w:p>
    <w:p w14:paraId="3E5292D2" w14:textId="77777777" w:rsidR="00B216AD" w:rsidRDefault="00B216AD" w:rsidP="00B216AD">
      <w:pPr>
        <w:rPr>
          <w:i/>
          <w:iCs/>
          <w:sz w:val="18"/>
          <w:szCs w:val="18"/>
          <w:lang w:val="en-US"/>
        </w:rPr>
      </w:pPr>
    </w:p>
    <w:tbl>
      <w:tblPr>
        <w:tblStyle w:val="GridTable3-Accent1"/>
        <w:tblW w:w="9072" w:type="dxa"/>
        <w:tblLook w:val="0480" w:firstRow="0" w:lastRow="0" w:firstColumn="1" w:lastColumn="0" w:noHBand="0" w:noVBand="1"/>
      </w:tblPr>
      <w:tblGrid>
        <w:gridCol w:w="1701"/>
        <w:gridCol w:w="7371"/>
      </w:tblGrid>
      <w:tr w:rsidR="00B216AD" w14:paraId="360A100E" w14:textId="77777777" w:rsidTr="00FB3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0D762CD" w14:textId="77777777" w:rsidR="00B216AD" w:rsidRPr="00FB352C" w:rsidRDefault="00B216AD" w:rsidP="00CB4A0F">
            <w:pPr>
              <w:rPr>
                <w:sz w:val="20"/>
                <w:szCs w:val="20"/>
              </w:rPr>
            </w:pPr>
            <w:proofErr w:type="spellStart"/>
            <w:r w:rsidRPr="00FB352C">
              <w:rPr>
                <w:sz w:val="20"/>
                <w:szCs w:val="20"/>
              </w:rPr>
              <w:t>Entity</w:t>
            </w:r>
            <w:proofErr w:type="spellEnd"/>
            <w:r w:rsidRPr="00FB352C">
              <w:rPr>
                <w:sz w:val="20"/>
                <w:szCs w:val="20"/>
              </w:rPr>
              <w:t xml:space="preserve"> </w:t>
            </w:r>
            <w:proofErr w:type="spellStart"/>
            <w:r w:rsidRPr="00FB352C">
              <w:rPr>
                <w:sz w:val="20"/>
                <w:szCs w:val="20"/>
              </w:rPr>
              <w:t>owner</w:t>
            </w:r>
            <w:proofErr w:type="spellEnd"/>
            <w:r w:rsidRPr="00FB352C">
              <w:rPr>
                <w:sz w:val="20"/>
                <w:szCs w:val="20"/>
              </w:rPr>
              <w:t xml:space="preserve"> ID:</w:t>
            </w:r>
          </w:p>
        </w:tc>
        <w:tc>
          <w:tcPr>
            <w:tcW w:w="7371" w:type="dxa"/>
          </w:tcPr>
          <w:p w14:paraId="61F60426" w14:textId="77777777" w:rsidR="00B216AD" w:rsidRDefault="00B216AD" w:rsidP="00CB4A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16AD" w14:paraId="5F750780" w14:textId="77777777" w:rsidTr="00FB3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B16BDC1" w14:textId="77777777" w:rsidR="00B216AD" w:rsidRPr="00FB352C" w:rsidRDefault="00B216AD" w:rsidP="00CB4A0F">
            <w:pPr>
              <w:rPr>
                <w:sz w:val="20"/>
                <w:szCs w:val="20"/>
              </w:rPr>
            </w:pPr>
            <w:r w:rsidRPr="00FB352C">
              <w:rPr>
                <w:sz w:val="20"/>
                <w:szCs w:val="20"/>
              </w:rPr>
              <w:t>API Token:</w:t>
            </w:r>
          </w:p>
        </w:tc>
        <w:tc>
          <w:tcPr>
            <w:tcW w:w="7371" w:type="dxa"/>
          </w:tcPr>
          <w:p w14:paraId="727A78B1" w14:textId="77777777" w:rsidR="00B216AD" w:rsidRDefault="00B216AD" w:rsidP="00CB4A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7AD943D" w14:textId="77777777" w:rsidR="00B216AD" w:rsidRDefault="00B216AD" w:rsidP="00B216AD">
      <w:pPr>
        <w:rPr>
          <w:i/>
          <w:iCs/>
          <w:sz w:val="18"/>
          <w:szCs w:val="18"/>
          <w:lang w:val="en-US"/>
        </w:rPr>
      </w:pPr>
    </w:p>
    <w:p w14:paraId="491CC0BA" w14:textId="77777777" w:rsidR="00B216AD" w:rsidRDefault="00B216AD" w:rsidP="00B216AD">
      <w:pPr>
        <w:rPr>
          <w:sz w:val="18"/>
          <w:szCs w:val="18"/>
          <w:lang w:val="en-US"/>
        </w:rPr>
      </w:pPr>
    </w:p>
    <w:p w14:paraId="6F1A6DDE" w14:textId="77777777" w:rsidR="00B216AD" w:rsidRPr="00351AE7" w:rsidRDefault="00B216AD" w:rsidP="00B216AD">
      <w:pPr>
        <w:pStyle w:val="Heading2"/>
        <w:numPr>
          <w:ilvl w:val="0"/>
          <w:numId w:val="4"/>
        </w:numPr>
        <w:tabs>
          <w:tab w:val="num" w:pos="360"/>
        </w:tabs>
        <w:ind w:left="0" w:firstLine="0"/>
      </w:pPr>
      <w:r w:rsidRPr="00351AE7">
        <w:t>General information</w:t>
      </w:r>
    </w:p>
    <w:p w14:paraId="63F5D6BB" w14:textId="77777777" w:rsidR="00B216AD" w:rsidRDefault="00B216AD" w:rsidP="00B216AD">
      <w:pPr>
        <w:rPr>
          <w:lang w:val="en-US"/>
        </w:rPr>
      </w:pPr>
      <w:r>
        <w:rPr>
          <w:lang w:val="en-US"/>
        </w:rPr>
        <w:t xml:space="preserve">This document describes the settings related to the </w:t>
      </w:r>
      <w:proofErr w:type="spellStart"/>
      <w:r>
        <w:rPr>
          <w:lang w:val="en-US"/>
        </w:rPr>
        <w:t>GraphQL</w:t>
      </w:r>
      <w:proofErr w:type="spellEnd"/>
      <w:r>
        <w:rPr>
          <w:lang w:val="en-US"/>
        </w:rPr>
        <w:t xml:space="preserve"> API in </w:t>
      </w:r>
      <w:proofErr w:type="spellStart"/>
      <w:r>
        <w:rPr>
          <w:lang w:val="en-US"/>
        </w:rPr>
        <w:t>Xledger</w:t>
      </w:r>
      <w:proofErr w:type="spellEnd"/>
      <w:r>
        <w:rPr>
          <w:lang w:val="en-US"/>
        </w:rPr>
        <w:t xml:space="preserve"> to provide the SEMINE integration with enough access rights to connect to and synchronize data between the two systems.</w:t>
      </w:r>
    </w:p>
    <w:p w14:paraId="61F4C743" w14:textId="77777777" w:rsidR="008F3BA8" w:rsidRDefault="008F3BA8" w:rsidP="00B216AD">
      <w:pPr>
        <w:rPr>
          <w:lang w:val="en-US"/>
        </w:rPr>
      </w:pPr>
    </w:p>
    <w:p w14:paraId="693BB227" w14:textId="77777777" w:rsidR="00B216AD" w:rsidRDefault="00B216AD" w:rsidP="00B216AD">
      <w:pPr>
        <w:rPr>
          <w:lang w:val="en-US"/>
        </w:rPr>
      </w:pPr>
      <w:r>
        <w:rPr>
          <w:lang w:val="en-US"/>
        </w:rPr>
        <w:t xml:space="preserve">The organization of the entities in </w:t>
      </w:r>
      <w:proofErr w:type="spellStart"/>
      <w:r>
        <w:rPr>
          <w:lang w:val="en-US"/>
        </w:rPr>
        <w:t>Xledger</w:t>
      </w:r>
      <w:proofErr w:type="spellEnd"/>
      <w:r>
        <w:rPr>
          <w:lang w:val="en-US"/>
        </w:rPr>
        <w:t xml:space="preserve"> is assumed to consist of an owner/domain entity with clients as sub-entities below this – so that when providing access to the owner entity all clients are included within the same access scope.</w:t>
      </w:r>
    </w:p>
    <w:p w14:paraId="322E636D" w14:textId="77777777" w:rsidR="00B216AD" w:rsidRDefault="00B216AD" w:rsidP="00B216AD">
      <w:pPr>
        <w:rPr>
          <w:lang w:val="en-US"/>
        </w:rPr>
      </w:pPr>
      <w:r>
        <w:rPr>
          <w:lang w:val="en-US"/>
        </w:rPr>
        <w:t xml:space="preserve">It is possible to set up several integrations if the </w:t>
      </w:r>
      <w:proofErr w:type="spellStart"/>
      <w:r>
        <w:rPr>
          <w:lang w:val="en-US"/>
        </w:rPr>
        <w:t>Xledger</w:t>
      </w:r>
      <w:proofErr w:type="spellEnd"/>
      <w:r>
        <w:rPr>
          <w:lang w:val="en-US"/>
        </w:rPr>
        <w:t xml:space="preserve"> installation consists of several different owner/domain entities.</w:t>
      </w:r>
    </w:p>
    <w:p w14:paraId="742C28CA" w14:textId="77777777" w:rsidR="008F3BA8" w:rsidRDefault="008F3BA8" w:rsidP="00B216AD">
      <w:pPr>
        <w:rPr>
          <w:lang w:val="en-US"/>
        </w:rPr>
      </w:pPr>
    </w:p>
    <w:p w14:paraId="38A91D99" w14:textId="77777777" w:rsidR="00B216AD" w:rsidRDefault="00B216AD" w:rsidP="00B216AD">
      <w:pPr>
        <w:rPr>
          <w:lang w:val="en-US"/>
        </w:rPr>
      </w:pPr>
      <w:r>
        <w:rPr>
          <w:lang w:val="en-US"/>
        </w:rPr>
        <w:t xml:space="preserve">The integration uses </w:t>
      </w:r>
      <w:proofErr w:type="spellStart"/>
      <w:r>
        <w:rPr>
          <w:lang w:val="en-US"/>
        </w:rPr>
        <w:t>GraphQL</w:t>
      </w:r>
      <w:proofErr w:type="spellEnd"/>
      <w:r>
        <w:rPr>
          <w:lang w:val="en-US"/>
        </w:rPr>
        <w:t xml:space="preserve"> queries to extract data such as suppliers, dimensions, and accounts and import these to SEMINE so an API token needs to be provided before the integration can be configured.</w:t>
      </w:r>
    </w:p>
    <w:p w14:paraId="4AE1379F" w14:textId="77777777" w:rsidR="00B216AD" w:rsidRPr="00B82BB1" w:rsidRDefault="00B216AD" w:rsidP="00B216AD">
      <w:pPr>
        <w:rPr>
          <w:sz w:val="18"/>
          <w:szCs w:val="18"/>
          <w:lang w:val="en-US"/>
        </w:rPr>
      </w:pPr>
    </w:p>
    <w:p w14:paraId="3D1F9BB7" w14:textId="77777777" w:rsidR="00B216AD" w:rsidRPr="00CE6127" w:rsidRDefault="00B216AD" w:rsidP="00B216AD"/>
    <w:p w14:paraId="00A583DE" w14:textId="77777777" w:rsidR="00B216AD" w:rsidRDefault="00B216AD" w:rsidP="00B216AD">
      <w:pPr>
        <w:pStyle w:val="Heading2"/>
        <w:numPr>
          <w:ilvl w:val="0"/>
          <w:numId w:val="4"/>
        </w:numPr>
        <w:tabs>
          <w:tab w:val="num" w:pos="360"/>
        </w:tabs>
        <w:ind w:left="0" w:firstLine="0"/>
      </w:pPr>
      <w:r>
        <w:t>Generate and provide API Token for owner entity</w:t>
      </w:r>
    </w:p>
    <w:p w14:paraId="68C07A97" w14:textId="77777777" w:rsidR="00B216AD" w:rsidRDefault="00B216AD" w:rsidP="00B216AD"/>
    <w:p w14:paraId="3B2BF3BC" w14:textId="77777777" w:rsidR="00B216AD" w:rsidRPr="001714C0" w:rsidRDefault="00B216AD" w:rsidP="00B216AD">
      <w:pPr>
        <w:rPr>
          <w:i/>
          <w:iCs/>
          <w:sz w:val="18"/>
          <w:szCs w:val="18"/>
          <w:lang w:val="en-US"/>
        </w:rPr>
      </w:pPr>
      <w:r w:rsidRPr="001714C0">
        <w:rPr>
          <w:i/>
          <w:iCs/>
          <w:sz w:val="18"/>
          <w:szCs w:val="18"/>
          <w:lang w:val="en-US"/>
        </w:rPr>
        <w:t>Since the token generated is tied to the user that generates it</w:t>
      </w:r>
      <w:r>
        <w:rPr>
          <w:i/>
          <w:iCs/>
          <w:sz w:val="18"/>
          <w:szCs w:val="18"/>
          <w:lang w:val="en-US"/>
        </w:rPr>
        <w:t>,</w:t>
      </w:r>
      <w:r w:rsidRPr="001714C0">
        <w:rPr>
          <w:i/>
          <w:iCs/>
          <w:sz w:val="18"/>
          <w:szCs w:val="18"/>
          <w:lang w:val="en-US"/>
        </w:rPr>
        <w:t xml:space="preserve"> we recommend creating</w:t>
      </w:r>
      <w:r>
        <w:rPr>
          <w:i/>
          <w:iCs/>
          <w:sz w:val="18"/>
          <w:szCs w:val="18"/>
          <w:lang w:val="en-US"/>
        </w:rPr>
        <w:t>,</w:t>
      </w:r>
      <w:r w:rsidRPr="001714C0">
        <w:rPr>
          <w:i/>
          <w:iCs/>
          <w:sz w:val="18"/>
          <w:szCs w:val="18"/>
          <w:lang w:val="en-US"/>
        </w:rPr>
        <w:t xml:space="preserve"> or </w:t>
      </w:r>
      <w:proofErr w:type="gramStart"/>
      <w:r w:rsidRPr="001714C0">
        <w:rPr>
          <w:i/>
          <w:iCs/>
          <w:sz w:val="18"/>
          <w:szCs w:val="18"/>
          <w:lang w:val="en-US"/>
        </w:rPr>
        <w:t>use</w:t>
      </w:r>
      <w:proofErr w:type="gramEnd"/>
      <w:r w:rsidRPr="001714C0">
        <w:rPr>
          <w:i/>
          <w:iCs/>
          <w:sz w:val="18"/>
          <w:szCs w:val="18"/>
          <w:lang w:val="en-US"/>
        </w:rPr>
        <w:t xml:space="preserve"> an existing</w:t>
      </w:r>
      <w:r>
        <w:rPr>
          <w:i/>
          <w:iCs/>
          <w:sz w:val="18"/>
          <w:szCs w:val="18"/>
          <w:lang w:val="en-US"/>
        </w:rPr>
        <w:t>,</w:t>
      </w:r>
      <w:r w:rsidRPr="001714C0">
        <w:rPr>
          <w:i/>
          <w:iCs/>
          <w:sz w:val="18"/>
          <w:szCs w:val="18"/>
          <w:lang w:val="en-US"/>
        </w:rPr>
        <w:t xml:space="preserve"> system or service user for this purpose.</w:t>
      </w:r>
    </w:p>
    <w:p w14:paraId="2032426C" w14:textId="77777777" w:rsidR="00B216AD" w:rsidRPr="00B406C4" w:rsidRDefault="00B216AD" w:rsidP="00B216AD">
      <w:pPr>
        <w:rPr>
          <w:lang w:val="en-US"/>
        </w:rPr>
      </w:pPr>
      <w:r w:rsidRPr="00B406C4">
        <w:rPr>
          <w:noProof/>
          <w:lang w:val="en-US"/>
        </w:rPr>
        <w:drawing>
          <wp:inline distT="0" distB="0" distL="0" distR="0" wp14:anchorId="55E54C33" wp14:editId="58A91891">
            <wp:extent cx="3753374" cy="1305107"/>
            <wp:effectExtent l="0" t="0" r="0" b="9525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53374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FBE1" w14:textId="77777777" w:rsidR="00B216AD" w:rsidRPr="00B406C4" w:rsidRDefault="00B216AD" w:rsidP="00B216AD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A205CEC" wp14:editId="7699B94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102610" cy="8420100"/>
            <wp:effectExtent l="0" t="0" r="2540" b="0"/>
            <wp:wrapTight wrapText="bothSides">
              <wp:wrapPolygon edited="0">
                <wp:start x="0" y="0"/>
                <wp:lineTo x="0" y="21551"/>
                <wp:lineTo x="21485" y="21551"/>
                <wp:lineTo x="21485" y="0"/>
                <wp:lineTo x="0" y="0"/>
              </wp:wrapPolygon>
            </wp:wrapTight>
            <wp:docPr id="5" name="Picture 5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012" cy="842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DCDFD" w14:textId="77777777" w:rsidR="00B216AD" w:rsidRPr="00B406C4" w:rsidRDefault="00B216AD" w:rsidP="00B216A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266AA93" wp14:editId="37AA7696">
            <wp:simplePos x="0" y="0"/>
            <wp:positionH relativeFrom="margin">
              <wp:posOffset>3105150</wp:posOffset>
            </wp:positionH>
            <wp:positionV relativeFrom="paragraph">
              <wp:posOffset>269240</wp:posOffset>
            </wp:positionV>
            <wp:extent cx="3415665" cy="8138795"/>
            <wp:effectExtent l="0" t="0" r="0" b="0"/>
            <wp:wrapTight wrapText="bothSides">
              <wp:wrapPolygon edited="0">
                <wp:start x="0" y="0"/>
                <wp:lineTo x="0" y="21538"/>
                <wp:lineTo x="21443" y="21538"/>
                <wp:lineTo x="21443" y="0"/>
                <wp:lineTo x="0" y="0"/>
              </wp:wrapPolygon>
            </wp:wrapTight>
            <wp:docPr id="8" name="Picture 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65" cy="813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A4484A" w14:textId="77777777" w:rsidR="00B216AD" w:rsidRPr="00B406C4" w:rsidRDefault="00B216AD" w:rsidP="00B216AD">
      <w:pPr>
        <w:rPr>
          <w:lang w:val="en-US"/>
        </w:rPr>
      </w:pPr>
    </w:p>
    <w:p w14:paraId="70760F81" w14:textId="77777777" w:rsidR="00B216AD" w:rsidRPr="00B406C4" w:rsidRDefault="00B216AD" w:rsidP="00B216AD">
      <w:pPr>
        <w:rPr>
          <w:lang w:val="en-US"/>
        </w:rPr>
      </w:pPr>
    </w:p>
    <w:p w14:paraId="7C3DB2C8" w14:textId="77777777" w:rsidR="00B216AD" w:rsidRDefault="00B216AD" w:rsidP="00B216AD"/>
    <w:p w14:paraId="6600AAA6" w14:textId="77777777" w:rsidR="00B216AD" w:rsidRDefault="00B216AD" w:rsidP="00B216AD"/>
    <w:p w14:paraId="429F9638" w14:textId="77777777" w:rsidR="00B216AD" w:rsidRDefault="00B216AD" w:rsidP="00B216AD"/>
    <w:p w14:paraId="7F52BC1B" w14:textId="77777777" w:rsidR="00B216AD" w:rsidRDefault="00B216AD" w:rsidP="00B216AD">
      <w:pPr>
        <w:pStyle w:val="Heading2"/>
        <w:numPr>
          <w:ilvl w:val="0"/>
          <w:numId w:val="4"/>
        </w:numPr>
        <w:tabs>
          <w:tab w:val="num" w:pos="360"/>
        </w:tabs>
        <w:ind w:left="0" w:firstLine="0"/>
      </w:pPr>
      <w:proofErr w:type="spellStart"/>
      <w:r>
        <w:t>Xledger</w:t>
      </w:r>
      <w:proofErr w:type="spellEnd"/>
      <w:r>
        <w:t xml:space="preserve"> owner entity ID</w:t>
      </w:r>
    </w:p>
    <w:p w14:paraId="240748E1" w14:textId="77777777" w:rsidR="00B216AD" w:rsidRDefault="00B216AD" w:rsidP="00B216AD"/>
    <w:p w14:paraId="468396F6" w14:textId="673A19DC" w:rsidR="00B216AD" w:rsidRDefault="00B216AD" w:rsidP="00B216AD">
      <w:pPr>
        <w:rPr>
          <w:sz w:val="20"/>
          <w:szCs w:val="20"/>
          <w:lang w:val="en-US"/>
        </w:rPr>
      </w:pPr>
      <w:r w:rsidRPr="00CF1608">
        <w:rPr>
          <w:sz w:val="20"/>
          <w:szCs w:val="20"/>
          <w:lang w:val="en-US"/>
        </w:rPr>
        <w:t xml:space="preserve">In </w:t>
      </w:r>
      <w:proofErr w:type="spellStart"/>
      <w:r w:rsidRPr="00CF1608">
        <w:rPr>
          <w:sz w:val="20"/>
          <w:szCs w:val="20"/>
          <w:lang w:val="en-US"/>
        </w:rPr>
        <w:t>Xledger</w:t>
      </w:r>
      <w:proofErr w:type="spellEnd"/>
      <w:r w:rsidRPr="00CF1608">
        <w:rPr>
          <w:sz w:val="20"/>
          <w:szCs w:val="20"/>
          <w:lang w:val="en-US"/>
        </w:rPr>
        <w:t>, Navigate to Administration --&gt; Entity and copy the value</w:t>
      </w:r>
      <w:r>
        <w:rPr>
          <w:sz w:val="20"/>
          <w:szCs w:val="20"/>
          <w:lang w:val="en-US"/>
        </w:rPr>
        <w:t xml:space="preserve"> of the desired entity’s</w:t>
      </w:r>
      <w:r w:rsidRPr="00CF160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“</w:t>
      </w:r>
      <w:r w:rsidRPr="00CF1608">
        <w:rPr>
          <w:sz w:val="20"/>
          <w:szCs w:val="20"/>
          <w:lang w:val="en-US"/>
        </w:rPr>
        <w:t>Owner ID</w:t>
      </w:r>
      <w:r>
        <w:rPr>
          <w:sz w:val="20"/>
          <w:szCs w:val="20"/>
          <w:lang w:val="en-US"/>
        </w:rPr>
        <w:t xml:space="preserve">” field to the table on the first page. </w:t>
      </w:r>
    </w:p>
    <w:p w14:paraId="7106F614" w14:textId="77777777" w:rsidR="00EA6C0F" w:rsidRPr="00CF1608" w:rsidRDefault="00EA6C0F" w:rsidP="00B216AD">
      <w:pPr>
        <w:rPr>
          <w:sz w:val="20"/>
          <w:szCs w:val="20"/>
          <w:lang w:val="en-US"/>
        </w:rPr>
      </w:pPr>
    </w:p>
    <w:p w14:paraId="41433030" w14:textId="1471E0DA" w:rsidR="00B216AD" w:rsidRDefault="00EA6C0F" w:rsidP="00B216AD">
      <w:r>
        <w:rPr>
          <w:noProof/>
        </w:rPr>
        <w:drawing>
          <wp:inline distT="0" distB="0" distL="0" distR="0" wp14:anchorId="6FCBC1EE" wp14:editId="1D1C73C9">
            <wp:extent cx="5731510" cy="891942"/>
            <wp:effectExtent l="0" t="0" r="2540" b="3810"/>
            <wp:docPr id="11" name="Picture 1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91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FEBDD1" w14:textId="77777777" w:rsidR="00B216AD" w:rsidRDefault="00B216AD" w:rsidP="00B216AD">
      <w:pPr>
        <w:rPr>
          <w:rFonts w:asciiTheme="majorHAnsi" w:eastAsiaTheme="majorEastAsia" w:hAnsiTheme="majorHAnsi" w:cstheme="majorBidi"/>
          <w:color w:val="F35700" w:themeColor="accent1" w:themeShade="BF"/>
          <w:sz w:val="26"/>
          <w:szCs w:val="26"/>
          <w:lang w:val="en-US"/>
        </w:rPr>
      </w:pPr>
    </w:p>
    <w:p w14:paraId="17C4B00D" w14:textId="77777777" w:rsidR="00B216AD" w:rsidRDefault="00B216AD" w:rsidP="00B216AD">
      <w:pPr>
        <w:rPr>
          <w:rFonts w:asciiTheme="majorHAnsi" w:eastAsiaTheme="majorEastAsia" w:hAnsiTheme="majorHAnsi" w:cstheme="majorBidi"/>
          <w:color w:val="F35700" w:themeColor="accent1" w:themeShade="BF"/>
          <w:sz w:val="26"/>
          <w:szCs w:val="26"/>
          <w:lang w:val="en-US"/>
        </w:rPr>
      </w:pPr>
    </w:p>
    <w:p w14:paraId="6FA2B43E" w14:textId="77777777" w:rsidR="00B216AD" w:rsidRPr="00F51C09" w:rsidRDefault="00B216AD" w:rsidP="00B216AD">
      <w:pPr>
        <w:rPr>
          <w:rFonts w:asciiTheme="majorHAnsi" w:eastAsiaTheme="majorEastAsia" w:hAnsiTheme="majorHAnsi" w:cstheme="majorBidi"/>
          <w:color w:val="F35700" w:themeColor="accent1" w:themeShade="BF"/>
          <w:sz w:val="26"/>
          <w:szCs w:val="26"/>
          <w:lang w:val="en-US"/>
        </w:rPr>
      </w:pPr>
      <w:r>
        <w:rPr>
          <w:rFonts w:asciiTheme="majorHAnsi" w:eastAsiaTheme="majorEastAsia" w:hAnsiTheme="majorHAnsi" w:cstheme="majorBidi"/>
          <w:color w:val="F35700" w:themeColor="accent1" w:themeShade="BF"/>
          <w:sz w:val="26"/>
          <w:szCs w:val="26"/>
          <w:lang w:val="en-US"/>
        </w:rPr>
        <w:t>A</w:t>
      </w:r>
      <w:r w:rsidRPr="00F51C09">
        <w:rPr>
          <w:rFonts w:asciiTheme="majorHAnsi" w:eastAsiaTheme="majorEastAsia" w:hAnsiTheme="majorHAnsi" w:cstheme="majorBidi"/>
          <w:color w:val="F35700" w:themeColor="accent1" w:themeShade="BF"/>
          <w:sz w:val="26"/>
          <w:szCs w:val="26"/>
          <w:lang w:val="en-US"/>
        </w:rPr>
        <w:t>dditional information</w:t>
      </w:r>
      <w:r w:rsidRPr="00F51C09">
        <w:rPr>
          <w:sz w:val="20"/>
          <w:szCs w:val="20"/>
          <w:lang w:val="en-US"/>
        </w:rPr>
        <w:t xml:space="preserve"> </w:t>
      </w:r>
    </w:p>
    <w:p w14:paraId="4FE9A057" w14:textId="0C1F0556" w:rsidR="00B216AD" w:rsidRDefault="00B216AD" w:rsidP="00B216AD">
      <w:pPr>
        <w:rPr>
          <w:sz w:val="20"/>
          <w:szCs w:val="20"/>
          <w:lang w:val="en-US"/>
        </w:rPr>
      </w:pPr>
      <w:r w:rsidRPr="7B15CC11">
        <w:rPr>
          <w:sz w:val="20"/>
          <w:szCs w:val="20"/>
          <w:lang w:val="en-US"/>
        </w:rPr>
        <w:t>The customers' ERP system will be the governing system (</w:t>
      </w:r>
      <w:r w:rsidR="00EA6C0F">
        <w:rPr>
          <w:sz w:val="20"/>
          <w:szCs w:val="20"/>
          <w:lang w:val="en-US"/>
        </w:rPr>
        <w:t>m</w:t>
      </w:r>
      <w:r w:rsidRPr="7B15CC11">
        <w:rPr>
          <w:sz w:val="20"/>
          <w:szCs w:val="20"/>
          <w:lang w:val="en-US"/>
        </w:rPr>
        <w:t xml:space="preserve">aster). </w:t>
      </w:r>
      <w:r w:rsidR="00EA6C0F">
        <w:rPr>
          <w:sz w:val="20"/>
          <w:szCs w:val="20"/>
          <w:lang w:val="en-US"/>
        </w:rPr>
        <w:t>All c</w:t>
      </w:r>
      <w:r w:rsidRPr="7B15CC11">
        <w:rPr>
          <w:sz w:val="20"/>
          <w:szCs w:val="20"/>
          <w:lang w:val="en-US"/>
        </w:rPr>
        <w:t>hanges are made in the ERP system, which is synchronized to SEMINE at standard intervals. SEMINE sends information to the ERP system every</w:t>
      </w:r>
      <w:r>
        <w:rPr>
          <w:sz w:val="20"/>
          <w:szCs w:val="20"/>
          <w:lang w:val="en-US"/>
        </w:rPr>
        <w:t xml:space="preserve"> 5</w:t>
      </w:r>
      <w:r w:rsidRPr="7B15CC11">
        <w:rPr>
          <w:sz w:val="20"/>
          <w:szCs w:val="20"/>
          <w:lang w:val="en-US"/>
        </w:rPr>
        <w:t xml:space="preserve"> minute</w:t>
      </w:r>
      <w:r>
        <w:rPr>
          <w:sz w:val="20"/>
          <w:szCs w:val="20"/>
          <w:lang w:val="en-US"/>
        </w:rPr>
        <w:t>s</w:t>
      </w:r>
      <w:r w:rsidRPr="7B15CC11">
        <w:rPr>
          <w:sz w:val="20"/>
          <w:szCs w:val="20"/>
          <w:lang w:val="en-US"/>
        </w:rPr>
        <w:t>. If other intervals are desired</w:t>
      </w:r>
      <w:r>
        <w:rPr>
          <w:sz w:val="20"/>
          <w:szCs w:val="20"/>
          <w:lang w:val="en-US"/>
        </w:rPr>
        <w:t xml:space="preserve"> it can be adjusted to fit the requirements</w:t>
      </w:r>
      <w:r w:rsidRPr="7B15CC11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 xml:space="preserve">but </w:t>
      </w:r>
      <w:r w:rsidRPr="7B15CC11">
        <w:rPr>
          <w:sz w:val="20"/>
          <w:szCs w:val="20"/>
          <w:lang w:val="en-US"/>
        </w:rPr>
        <w:t>the project manager in S</w:t>
      </w:r>
      <w:r>
        <w:rPr>
          <w:sz w:val="20"/>
          <w:szCs w:val="20"/>
          <w:lang w:val="en-US"/>
        </w:rPr>
        <w:t>emine</w:t>
      </w:r>
      <w:r w:rsidRPr="7B15CC11">
        <w:rPr>
          <w:sz w:val="20"/>
          <w:szCs w:val="20"/>
          <w:lang w:val="en-US"/>
        </w:rPr>
        <w:t xml:space="preserve"> must be notified.</w:t>
      </w:r>
    </w:p>
    <w:p w14:paraId="500592AD" w14:textId="77777777" w:rsidR="00EA6C0F" w:rsidRPr="00727E1E" w:rsidRDefault="00EA6C0F" w:rsidP="00B216AD">
      <w:pPr>
        <w:rPr>
          <w:sz w:val="20"/>
          <w:szCs w:val="20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B216AD" w:rsidRPr="00262FDA" w14:paraId="26973832" w14:textId="77777777" w:rsidTr="00CB4A0F">
        <w:tc>
          <w:tcPr>
            <w:tcW w:w="4815" w:type="dxa"/>
          </w:tcPr>
          <w:p w14:paraId="50B90026" w14:textId="77777777" w:rsidR="00B216AD" w:rsidRPr="00262FDA" w:rsidRDefault="00B216AD" w:rsidP="00CB4A0F">
            <w:pPr>
              <w:rPr>
                <w:b/>
                <w:bCs/>
                <w:sz w:val="20"/>
                <w:szCs w:val="20"/>
                <w:lang w:val="en-US"/>
              </w:rPr>
            </w:pPr>
            <w:r w:rsidRPr="64CCF83E">
              <w:rPr>
                <w:b/>
                <w:bCs/>
                <w:sz w:val="20"/>
                <w:szCs w:val="20"/>
                <w:lang w:val="en-US"/>
              </w:rPr>
              <w:t xml:space="preserve">Basic data </w:t>
            </w:r>
          </w:p>
        </w:tc>
        <w:tc>
          <w:tcPr>
            <w:tcW w:w="4252" w:type="dxa"/>
          </w:tcPr>
          <w:p w14:paraId="644783C6" w14:textId="77777777" w:rsidR="00B216AD" w:rsidRPr="00262FDA" w:rsidRDefault="00B216AD" w:rsidP="00CB4A0F">
            <w:pPr>
              <w:rPr>
                <w:b/>
                <w:bCs/>
                <w:sz w:val="20"/>
                <w:szCs w:val="20"/>
                <w:lang w:val="en-US"/>
              </w:rPr>
            </w:pPr>
            <w:r w:rsidRPr="64CCF83E">
              <w:rPr>
                <w:b/>
                <w:bCs/>
                <w:sz w:val="20"/>
                <w:szCs w:val="20"/>
                <w:lang w:val="en-US"/>
              </w:rPr>
              <w:t>Standard setup</w:t>
            </w:r>
          </w:p>
        </w:tc>
      </w:tr>
      <w:tr w:rsidR="00B216AD" w:rsidRPr="00262FDA" w14:paraId="4F145DA9" w14:textId="77777777" w:rsidTr="00CB4A0F">
        <w:tc>
          <w:tcPr>
            <w:tcW w:w="4815" w:type="dxa"/>
          </w:tcPr>
          <w:p w14:paraId="125393E8" w14:textId="77777777" w:rsidR="00B216AD" w:rsidRPr="00262FDA" w:rsidRDefault="00B216AD" w:rsidP="00CB4A0F">
            <w:pPr>
              <w:rPr>
                <w:sz w:val="20"/>
                <w:szCs w:val="20"/>
                <w:lang w:val="en-US"/>
              </w:rPr>
            </w:pPr>
            <w:r w:rsidRPr="7B15CC11">
              <w:rPr>
                <w:sz w:val="20"/>
                <w:szCs w:val="20"/>
                <w:lang w:val="en-US"/>
              </w:rPr>
              <w:t>Supplier Register</w:t>
            </w:r>
          </w:p>
        </w:tc>
        <w:tc>
          <w:tcPr>
            <w:tcW w:w="4252" w:type="dxa"/>
          </w:tcPr>
          <w:p w14:paraId="2B5DF889" w14:textId="02F4021E" w:rsidR="00B216AD" w:rsidRPr="00262FDA" w:rsidRDefault="00B216AD" w:rsidP="00CB4A0F">
            <w:pPr>
              <w:rPr>
                <w:sz w:val="20"/>
                <w:szCs w:val="20"/>
                <w:lang w:val="en-US"/>
              </w:rPr>
            </w:pPr>
            <w:r w:rsidRPr="64CCF83E">
              <w:rPr>
                <w:sz w:val="20"/>
                <w:szCs w:val="20"/>
                <w:lang w:val="en-US"/>
              </w:rPr>
              <w:t xml:space="preserve">Every </w:t>
            </w:r>
            <w:r w:rsidR="00571A63">
              <w:rPr>
                <w:sz w:val="20"/>
                <w:szCs w:val="20"/>
                <w:lang w:val="en-US"/>
              </w:rPr>
              <w:t>30</w:t>
            </w:r>
            <w:r w:rsidRPr="64CCF83E">
              <w:rPr>
                <w:sz w:val="20"/>
                <w:szCs w:val="20"/>
                <w:lang w:val="en-US"/>
              </w:rPr>
              <w:t xml:space="preserve"> minutes</w:t>
            </w:r>
          </w:p>
        </w:tc>
      </w:tr>
      <w:tr w:rsidR="00B216AD" w:rsidRPr="00FC169D" w14:paraId="1DF8A004" w14:textId="77777777" w:rsidTr="00CB4A0F">
        <w:tc>
          <w:tcPr>
            <w:tcW w:w="4815" w:type="dxa"/>
          </w:tcPr>
          <w:p w14:paraId="5B59F795" w14:textId="1F70AEFE" w:rsidR="00B216AD" w:rsidRPr="7B15CC11" w:rsidRDefault="00B216AD" w:rsidP="00CB4A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Currencies</w:t>
            </w:r>
            <w:r w:rsidRPr="7B15CC11">
              <w:rPr>
                <w:sz w:val="20"/>
                <w:szCs w:val="20"/>
                <w:lang w:val="en-US"/>
              </w:rPr>
              <w:t xml:space="preserve">, </w:t>
            </w:r>
          </w:p>
        </w:tc>
        <w:tc>
          <w:tcPr>
            <w:tcW w:w="4252" w:type="dxa"/>
          </w:tcPr>
          <w:p w14:paraId="257BEB25" w14:textId="3CFEA659" w:rsidR="00B216AD" w:rsidRPr="64CCF83E" w:rsidRDefault="005E2C92" w:rsidP="00CB4A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Every 24 hours</w:t>
            </w:r>
          </w:p>
        </w:tc>
      </w:tr>
      <w:tr w:rsidR="005E2C92" w:rsidRPr="00FC169D" w14:paraId="4671B229" w14:textId="77777777" w:rsidTr="00CB4A0F">
        <w:tc>
          <w:tcPr>
            <w:tcW w:w="4815" w:type="dxa"/>
          </w:tcPr>
          <w:p w14:paraId="7E3B2FF7" w14:textId="0762B2A1" w:rsidR="005E2C92" w:rsidRDefault="005E2C92" w:rsidP="00CB4A0F">
            <w:pPr>
              <w:rPr>
                <w:sz w:val="20"/>
                <w:szCs w:val="20"/>
                <w:lang w:val="en-US"/>
              </w:rPr>
            </w:pPr>
            <w:r w:rsidRPr="7B15CC11">
              <w:rPr>
                <w:sz w:val="20"/>
                <w:szCs w:val="20"/>
                <w:lang w:val="en-US"/>
              </w:rPr>
              <w:t>Financial dimensions</w:t>
            </w:r>
          </w:p>
        </w:tc>
        <w:tc>
          <w:tcPr>
            <w:tcW w:w="4252" w:type="dxa"/>
          </w:tcPr>
          <w:p w14:paraId="3FAC0CBE" w14:textId="2BC82552" w:rsidR="005E2C92" w:rsidRDefault="005E2C92" w:rsidP="00CB4A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Every 6 hours</w:t>
            </w:r>
          </w:p>
        </w:tc>
      </w:tr>
      <w:tr w:rsidR="00B216AD" w:rsidRPr="00BD1E39" w14:paraId="3071AEDE" w14:textId="77777777" w:rsidTr="00CB4A0F">
        <w:tc>
          <w:tcPr>
            <w:tcW w:w="4815" w:type="dxa"/>
          </w:tcPr>
          <w:p w14:paraId="661F8E6B" w14:textId="026D452E" w:rsidR="00B216AD" w:rsidRPr="00262FDA" w:rsidRDefault="00B216AD" w:rsidP="00CB4A0F">
            <w:pPr>
              <w:rPr>
                <w:sz w:val="20"/>
                <w:szCs w:val="20"/>
                <w:lang w:val="en-US"/>
              </w:rPr>
            </w:pPr>
            <w:r w:rsidRPr="64CCF83E">
              <w:rPr>
                <w:sz w:val="20"/>
                <w:szCs w:val="20"/>
                <w:lang w:val="en-US"/>
              </w:rPr>
              <w:t>VAT Codes</w:t>
            </w:r>
            <w:r w:rsidR="005E2C92">
              <w:rPr>
                <w:sz w:val="20"/>
                <w:szCs w:val="20"/>
                <w:lang w:val="en-US"/>
              </w:rPr>
              <w:t xml:space="preserve">, </w:t>
            </w:r>
            <w:r w:rsidR="005E2C92" w:rsidRPr="7B15CC11">
              <w:rPr>
                <w:sz w:val="20"/>
                <w:szCs w:val="20"/>
                <w:lang w:val="en-US"/>
              </w:rPr>
              <w:t>Chart of accounts</w:t>
            </w:r>
          </w:p>
        </w:tc>
        <w:tc>
          <w:tcPr>
            <w:tcW w:w="4252" w:type="dxa"/>
          </w:tcPr>
          <w:p w14:paraId="63A79E52" w14:textId="07B296BA" w:rsidR="00B216AD" w:rsidRPr="00265C17" w:rsidRDefault="00B216AD" w:rsidP="00CB4A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Every </w:t>
            </w:r>
            <w:r w:rsidR="00571A63">
              <w:rPr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  <w:lang w:val="en-US"/>
              </w:rPr>
              <w:t xml:space="preserve"> hours</w:t>
            </w:r>
          </w:p>
        </w:tc>
      </w:tr>
      <w:tr w:rsidR="00B216AD" w:rsidRPr="00BD1E39" w14:paraId="5EC56885" w14:textId="77777777" w:rsidTr="00CB4A0F">
        <w:tc>
          <w:tcPr>
            <w:tcW w:w="4815" w:type="dxa"/>
          </w:tcPr>
          <w:p w14:paraId="144E56E3" w14:textId="77777777" w:rsidR="00B216AD" w:rsidRPr="00262FDA" w:rsidRDefault="00B216AD" w:rsidP="00CB4A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Invoices to </w:t>
            </w:r>
            <w:proofErr w:type="spellStart"/>
            <w:r>
              <w:rPr>
                <w:sz w:val="20"/>
                <w:szCs w:val="20"/>
                <w:lang w:val="en-US"/>
              </w:rPr>
              <w:t>Xledger</w:t>
            </w:r>
            <w:proofErr w:type="spellEnd"/>
          </w:p>
        </w:tc>
        <w:tc>
          <w:tcPr>
            <w:tcW w:w="4252" w:type="dxa"/>
          </w:tcPr>
          <w:p w14:paraId="1C680CF2" w14:textId="77777777" w:rsidR="00B216AD" w:rsidRPr="00265C17" w:rsidRDefault="00B216AD" w:rsidP="00CB4A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Every 5 minutes</w:t>
            </w:r>
          </w:p>
        </w:tc>
      </w:tr>
      <w:tr w:rsidR="00B216AD" w:rsidRPr="00BD1E39" w14:paraId="66AA55BB" w14:textId="77777777" w:rsidTr="00CB4A0F">
        <w:tc>
          <w:tcPr>
            <w:tcW w:w="4815" w:type="dxa"/>
          </w:tcPr>
          <w:p w14:paraId="56479087" w14:textId="77777777" w:rsidR="00B216AD" w:rsidRDefault="00B216AD" w:rsidP="00CB4A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Fixed Assets</w:t>
            </w:r>
          </w:p>
        </w:tc>
        <w:tc>
          <w:tcPr>
            <w:tcW w:w="4252" w:type="dxa"/>
          </w:tcPr>
          <w:p w14:paraId="12807F8F" w14:textId="6652A677" w:rsidR="00B216AD" w:rsidRDefault="00B216AD" w:rsidP="00CB4A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Every </w:t>
            </w:r>
            <w:r w:rsidR="00571A63">
              <w:rPr>
                <w:sz w:val="20"/>
                <w:szCs w:val="20"/>
                <w:lang w:val="en-US"/>
              </w:rPr>
              <w:t>6 hours</w:t>
            </w:r>
            <w:r>
              <w:rPr>
                <w:sz w:val="20"/>
                <w:szCs w:val="20"/>
                <w:lang w:val="en-US"/>
              </w:rPr>
              <w:t xml:space="preserve"> if applicable</w:t>
            </w:r>
          </w:p>
        </w:tc>
      </w:tr>
    </w:tbl>
    <w:p w14:paraId="2FA7DD66" w14:textId="77777777" w:rsidR="00B216AD" w:rsidRPr="00265C17" w:rsidRDefault="00B216AD" w:rsidP="00B216AD">
      <w:pPr>
        <w:rPr>
          <w:lang w:val="en-US"/>
        </w:rPr>
      </w:pPr>
    </w:p>
    <w:p w14:paraId="3A6E2988" w14:textId="77777777" w:rsidR="00B67C19" w:rsidRPr="00B216AD" w:rsidRDefault="00B67C19" w:rsidP="00B216AD"/>
    <w:sectPr w:rsidR="00B67C19" w:rsidRPr="00B216AD" w:rsidSect="00FB5721">
      <w:footerReference w:type="even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365D4" w14:textId="77777777" w:rsidR="00AF57E1" w:rsidRDefault="00AF57E1" w:rsidP="00E10974">
      <w:r>
        <w:separator/>
      </w:r>
    </w:p>
  </w:endnote>
  <w:endnote w:type="continuationSeparator" w:id="0">
    <w:p w14:paraId="17B1FAF6" w14:textId="77777777" w:rsidR="00AF57E1" w:rsidRDefault="00AF57E1" w:rsidP="00E10974">
      <w:r>
        <w:continuationSeparator/>
      </w:r>
    </w:p>
  </w:endnote>
  <w:endnote w:type="continuationNotice" w:id="1">
    <w:p w14:paraId="60B7E94A" w14:textId="77777777" w:rsidR="00AF57E1" w:rsidRDefault="00AF57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elia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Karelia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of Book">
    <w:altName w:val="Tahoma"/>
    <w:panose1 w:val="00000000000000000000"/>
    <w:charset w:val="00"/>
    <w:family w:val="modern"/>
    <w:notTrueType/>
    <w:pitch w:val="variable"/>
    <w:sig w:usb0="800008AF" w:usb1="5000205A" w:usb2="00000000" w:usb3="00000000" w:csb0="000000B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F1492" w14:textId="137CDE12" w:rsidR="00E10974" w:rsidRDefault="00E10974" w:rsidP="005B416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F74ED1" w14:textId="77777777" w:rsidR="00E10974" w:rsidRDefault="00E109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sz w:val="22"/>
        <w:szCs w:val="28"/>
      </w:rPr>
      <w:id w:val="-1439745866"/>
      <w:docPartObj>
        <w:docPartGallery w:val="Page Numbers (Bottom of Page)"/>
        <w:docPartUnique/>
      </w:docPartObj>
    </w:sdtPr>
    <w:sdtEndPr>
      <w:rPr>
        <w:rStyle w:val="PageNumber"/>
        <w:b/>
        <w:bCs/>
        <w:sz w:val="20"/>
        <w:szCs w:val="24"/>
      </w:rPr>
    </w:sdtEndPr>
    <w:sdtContent>
      <w:p w14:paraId="3CF81BDB" w14:textId="6033F627" w:rsidR="00E10974" w:rsidRPr="00204123" w:rsidRDefault="00E10974" w:rsidP="005B4169">
        <w:pPr>
          <w:pStyle w:val="Footer"/>
          <w:framePr w:wrap="none" w:vAnchor="text" w:hAnchor="margin" w:xAlign="center" w:y="1"/>
          <w:rPr>
            <w:rStyle w:val="PageNumber"/>
            <w:sz w:val="22"/>
            <w:szCs w:val="28"/>
          </w:rPr>
        </w:pPr>
        <w:r w:rsidRPr="00204123">
          <w:rPr>
            <w:rStyle w:val="PageNumber"/>
            <w:sz w:val="22"/>
            <w:szCs w:val="26"/>
          </w:rPr>
          <w:fldChar w:fldCharType="begin"/>
        </w:r>
        <w:r w:rsidRPr="00204123">
          <w:rPr>
            <w:rStyle w:val="PageNumber"/>
            <w:sz w:val="22"/>
            <w:szCs w:val="26"/>
          </w:rPr>
          <w:instrText xml:space="preserve"> PAGE </w:instrText>
        </w:r>
        <w:r w:rsidRPr="00204123">
          <w:rPr>
            <w:rStyle w:val="PageNumber"/>
            <w:sz w:val="22"/>
            <w:szCs w:val="26"/>
          </w:rPr>
          <w:fldChar w:fldCharType="separate"/>
        </w:r>
        <w:r w:rsidRPr="00204123">
          <w:rPr>
            <w:rStyle w:val="PageNumber"/>
            <w:noProof/>
            <w:sz w:val="22"/>
            <w:szCs w:val="26"/>
          </w:rPr>
          <w:t>1</w:t>
        </w:r>
        <w:r w:rsidRPr="00204123">
          <w:rPr>
            <w:rStyle w:val="PageNumber"/>
            <w:sz w:val="22"/>
            <w:szCs w:val="26"/>
          </w:rPr>
          <w:fldChar w:fldCharType="end"/>
        </w:r>
      </w:p>
    </w:sdtContent>
  </w:sdt>
  <w:p w14:paraId="78B8BE18" w14:textId="4773CE44" w:rsidR="00E10974" w:rsidRPr="004D2619" w:rsidRDefault="00E10974">
    <w:pPr>
      <w:pStyle w:val="Footer"/>
      <w:rPr>
        <w:sz w:val="20"/>
        <w:szCs w:val="22"/>
      </w:rPr>
    </w:pPr>
    <w:r w:rsidRPr="004D2619">
      <w:rPr>
        <w:noProof/>
        <w:sz w:val="20"/>
        <w:szCs w:val="22"/>
        <w14:ligatures w14:val="standardContextual"/>
      </w:rPr>
      <w:drawing>
        <wp:anchor distT="0" distB="0" distL="114300" distR="114300" simplePos="0" relativeHeight="251658240" behindDoc="0" locked="0" layoutInCell="1" allowOverlap="1" wp14:anchorId="6CF3DCB3" wp14:editId="3DA74B6A">
          <wp:simplePos x="0" y="0"/>
          <wp:positionH relativeFrom="column">
            <wp:posOffset>4626610</wp:posOffset>
          </wp:positionH>
          <wp:positionV relativeFrom="paragraph">
            <wp:posOffset>-24472</wp:posOffset>
          </wp:positionV>
          <wp:extent cx="1083079" cy="236243"/>
          <wp:effectExtent l="0" t="0" r="0" b="5080"/>
          <wp:wrapNone/>
          <wp:docPr id="1395223893" name="Picture 1395223893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261979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99" t="24296" r="8872" b="25320"/>
                  <a:stretch/>
                </pic:blipFill>
                <pic:spPr bwMode="auto">
                  <a:xfrm>
                    <a:off x="0" y="0"/>
                    <a:ext cx="1083079" cy="2362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2619">
      <w:rPr>
        <w:sz w:val="20"/>
        <w:szCs w:val="22"/>
      </w:rPr>
      <w:t>semine.com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1248E" w14:textId="77777777" w:rsidR="00AF57E1" w:rsidRDefault="00AF57E1" w:rsidP="00E10974">
      <w:r>
        <w:separator/>
      </w:r>
    </w:p>
  </w:footnote>
  <w:footnote w:type="continuationSeparator" w:id="0">
    <w:p w14:paraId="51D5BA1E" w14:textId="77777777" w:rsidR="00AF57E1" w:rsidRDefault="00AF57E1" w:rsidP="00E10974">
      <w:r>
        <w:continuationSeparator/>
      </w:r>
    </w:p>
  </w:footnote>
  <w:footnote w:type="continuationNotice" w:id="1">
    <w:p w14:paraId="539332BF" w14:textId="77777777" w:rsidR="00AF57E1" w:rsidRDefault="00AF57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76DB4"/>
    <w:multiLevelType w:val="hybridMultilevel"/>
    <w:tmpl w:val="DF0ED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A48E9"/>
    <w:multiLevelType w:val="hybridMultilevel"/>
    <w:tmpl w:val="E03052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629A"/>
    <w:multiLevelType w:val="hybridMultilevel"/>
    <w:tmpl w:val="BF70E3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CB7E01"/>
    <w:multiLevelType w:val="hybridMultilevel"/>
    <w:tmpl w:val="BF70E3B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8539067">
    <w:abstractNumId w:val="0"/>
  </w:num>
  <w:num w:numId="2" w16cid:durableId="959604307">
    <w:abstractNumId w:val="3"/>
  </w:num>
  <w:num w:numId="3" w16cid:durableId="1880630663">
    <w:abstractNumId w:val="2"/>
  </w:num>
  <w:num w:numId="4" w16cid:durableId="549651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0F"/>
    <w:rsid w:val="00000214"/>
    <w:rsid w:val="00034B95"/>
    <w:rsid w:val="00060C17"/>
    <w:rsid w:val="00071D33"/>
    <w:rsid w:val="000B35E4"/>
    <w:rsid w:val="00100EF6"/>
    <w:rsid w:val="001125CB"/>
    <w:rsid w:val="001311C2"/>
    <w:rsid w:val="00141887"/>
    <w:rsid w:val="00150AFF"/>
    <w:rsid w:val="0016051B"/>
    <w:rsid w:val="001625BA"/>
    <w:rsid w:val="00185ACC"/>
    <w:rsid w:val="00192D06"/>
    <w:rsid w:val="001B0B18"/>
    <w:rsid w:val="001E23EA"/>
    <w:rsid w:val="00200A97"/>
    <w:rsid w:val="00200B52"/>
    <w:rsid w:val="00204123"/>
    <w:rsid w:val="00206C66"/>
    <w:rsid w:val="002127DA"/>
    <w:rsid w:val="002569AC"/>
    <w:rsid w:val="00264AE4"/>
    <w:rsid w:val="0028498F"/>
    <w:rsid w:val="002903D6"/>
    <w:rsid w:val="00294E07"/>
    <w:rsid w:val="00297CD4"/>
    <w:rsid w:val="002A68D8"/>
    <w:rsid w:val="002B22BF"/>
    <w:rsid w:val="0030213A"/>
    <w:rsid w:val="003206DA"/>
    <w:rsid w:val="003366E5"/>
    <w:rsid w:val="0033744B"/>
    <w:rsid w:val="00357FAD"/>
    <w:rsid w:val="00363D8A"/>
    <w:rsid w:val="003822B9"/>
    <w:rsid w:val="00382ACE"/>
    <w:rsid w:val="003D6F1E"/>
    <w:rsid w:val="00414738"/>
    <w:rsid w:val="00421EC1"/>
    <w:rsid w:val="00423EE0"/>
    <w:rsid w:val="00437EAF"/>
    <w:rsid w:val="00442E6B"/>
    <w:rsid w:val="00447DF9"/>
    <w:rsid w:val="00464009"/>
    <w:rsid w:val="004665ED"/>
    <w:rsid w:val="004876CC"/>
    <w:rsid w:val="004A3C48"/>
    <w:rsid w:val="004B27CA"/>
    <w:rsid w:val="004B65E8"/>
    <w:rsid w:val="004C126E"/>
    <w:rsid w:val="004C3AA3"/>
    <w:rsid w:val="004D2619"/>
    <w:rsid w:val="0050431F"/>
    <w:rsid w:val="00516CE4"/>
    <w:rsid w:val="00520080"/>
    <w:rsid w:val="00535B7A"/>
    <w:rsid w:val="00565E78"/>
    <w:rsid w:val="00571A63"/>
    <w:rsid w:val="005A19BD"/>
    <w:rsid w:val="005B4169"/>
    <w:rsid w:val="005C2757"/>
    <w:rsid w:val="005D4C9E"/>
    <w:rsid w:val="005E0872"/>
    <w:rsid w:val="005E2C92"/>
    <w:rsid w:val="005E3420"/>
    <w:rsid w:val="005E7847"/>
    <w:rsid w:val="005F3AF2"/>
    <w:rsid w:val="005F4C3F"/>
    <w:rsid w:val="00612A5F"/>
    <w:rsid w:val="006357C4"/>
    <w:rsid w:val="00667A4E"/>
    <w:rsid w:val="006A7CC2"/>
    <w:rsid w:val="006B36F3"/>
    <w:rsid w:val="006B6064"/>
    <w:rsid w:val="006D17F5"/>
    <w:rsid w:val="006E78CC"/>
    <w:rsid w:val="0071252E"/>
    <w:rsid w:val="0074612F"/>
    <w:rsid w:val="00746504"/>
    <w:rsid w:val="00751881"/>
    <w:rsid w:val="007855C9"/>
    <w:rsid w:val="0079045E"/>
    <w:rsid w:val="007957AB"/>
    <w:rsid w:val="007D57A1"/>
    <w:rsid w:val="007E7735"/>
    <w:rsid w:val="008248D2"/>
    <w:rsid w:val="00826D66"/>
    <w:rsid w:val="00833D4C"/>
    <w:rsid w:val="00833F13"/>
    <w:rsid w:val="00856EDB"/>
    <w:rsid w:val="008662F3"/>
    <w:rsid w:val="008B7363"/>
    <w:rsid w:val="008D4C88"/>
    <w:rsid w:val="008D5673"/>
    <w:rsid w:val="008F3BA8"/>
    <w:rsid w:val="00920560"/>
    <w:rsid w:val="00947B4B"/>
    <w:rsid w:val="00952568"/>
    <w:rsid w:val="00956FFF"/>
    <w:rsid w:val="00973C1A"/>
    <w:rsid w:val="00980918"/>
    <w:rsid w:val="009940F7"/>
    <w:rsid w:val="009B6DBB"/>
    <w:rsid w:val="00A0270B"/>
    <w:rsid w:val="00A03BC8"/>
    <w:rsid w:val="00A07133"/>
    <w:rsid w:val="00A15E6A"/>
    <w:rsid w:val="00A36BEC"/>
    <w:rsid w:val="00A64110"/>
    <w:rsid w:val="00A93C0F"/>
    <w:rsid w:val="00AE3DB0"/>
    <w:rsid w:val="00AF57E1"/>
    <w:rsid w:val="00AF6E23"/>
    <w:rsid w:val="00B073F4"/>
    <w:rsid w:val="00B216AD"/>
    <w:rsid w:val="00B241CD"/>
    <w:rsid w:val="00B24551"/>
    <w:rsid w:val="00B42E1C"/>
    <w:rsid w:val="00B56624"/>
    <w:rsid w:val="00B639D6"/>
    <w:rsid w:val="00B67C19"/>
    <w:rsid w:val="00B95F3B"/>
    <w:rsid w:val="00BC3EF5"/>
    <w:rsid w:val="00BC7E4A"/>
    <w:rsid w:val="00BE6A80"/>
    <w:rsid w:val="00BF0224"/>
    <w:rsid w:val="00BF7392"/>
    <w:rsid w:val="00C1541D"/>
    <w:rsid w:val="00C35FB2"/>
    <w:rsid w:val="00CA3877"/>
    <w:rsid w:val="00CA6E4B"/>
    <w:rsid w:val="00CB7D68"/>
    <w:rsid w:val="00CE279B"/>
    <w:rsid w:val="00D06055"/>
    <w:rsid w:val="00D11AB0"/>
    <w:rsid w:val="00D30C60"/>
    <w:rsid w:val="00D57442"/>
    <w:rsid w:val="00D739A4"/>
    <w:rsid w:val="00DB1373"/>
    <w:rsid w:val="00E10974"/>
    <w:rsid w:val="00E167D0"/>
    <w:rsid w:val="00E372F3"/>
    <w:rsid w:val="00E50A99"/>
    <w:rsid w:val="00E53810"/>
    <w:rsid w:val="00E81F71"/>
    <w:rsid w:val="00EA40E5"/>
    <w:rsid w:val="00EA6C0F"/>
    <w:rsid w:val="00EB0654"/>
    <w:rsid w:val="00EC0EC2"/>
    <w:rsid w:val="00EC3F31"/>
    <w:rsid w:val="00EF0D44"/>
    <w:rsid w:val="00F266D1"/>
    <w:rsid w:val="00F30A95"/>
    <w:rsid w:val="00F31AC5"/>
    <w:rsid w:val="00F342F5"/>
    <w:rsid w:val="00F36DFA"/>
    <w:rsid w:val="00F46EF4"/>
    <w:rsid w:val="00F705F1"/>
    <w:rsid w:val="00F72B23"/>
    <w:rsid w:val="00F97EBD"/>
    <w:rsid w:val="00FB352C"/>
    <w:rsid w:val="00FB5721"/>
    <w:rsid w:val="00FC5A57"/>
    <w:rsid w:val="00FD367F"/>
    <w:rsid w:val="00FD38EB"/>
    <w:rsid w:val="00FE14BB"/>
    <w:rsid w:val="00FE7FFA"/>
    <w:rsid w:val="00FF3EAD"/>
    <w:rsid w:val="0CA0567B"/>
    <w:rsid w:val="3E8E7415"/>
    <w:rsid w:val="6CC0B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D2DE8"/>
  <w15:chartTrackingRefBased/>
  <w15:docId w15:val="{E677CA9D-8536-462C-83EF-8A5C2C8C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Karelia Regular" w:eastAsiaTheme="minorHAnsi" w:hAnsi="Karelia Regular" w:cs="Times New Roman (Headings CS)"/>
        <w:color w:val="000000" w:themeColor="text1"/>
        <w:sz w:val="32"/>
        <w:szCs w:val="3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Body)"/>
    <w:qFormat/>
    <w:rsid w:val="00CB7D68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B24551"/>
    <w:pPr>
      <w:keepNext/>
      <w:keepLines/>
      <w:outlineLvl w:val="0"/>
    </w:pPr>
    <w:rPr>
      <w:rFonts w:eastAsiaTheme="majorEastAsia" w:cstheme="majorBidi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619"/>
    <w:pPr>
      <w:keepNext/>
      <w:keepLines/>
      <w:outlineLvl w:val="1"/>
    </w:pPr>
    <w:rPr>
      <w:rFonts w:ascii="Karelia Medium" w:eastAsiaTheme="majorEastAsia" w:hAnsi="Karelia Medium" w:cstheme="majorBidi"/>
      <w:b/>
      <w:color w:val="121212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2619"/>
    <w:pPr>
      <w:keepNext/>
      <w:keepLines/>
      <w:spacing w:before="40"/>
      <w:outlineLvl w:val="2"/>
    </w:pPr>
    <w:rPr>
      <w:rFonts w:eastAsiaTheme="majorEastAsia" w:cstheme="majorBidi"/>
      <w:color w:val="121212" w:themeColor="text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E4A"/>
    <w:rPr>
      <w:color w:val="000000" w:themeColor="text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24551"/>
    <w:rPr>
      <w:rFonts w:eastAsiaTheme="majorEastAsia" w:cstheme="majorBidi"/>
      <w:sz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E10974"/>
    <w:pPr>
      <w:outlineLvl w:val="9"/>
    </w:pPr>
    <w:rPr>
      <w:lang w:eastAsia="nb-NO"/>
    </w:rPr>
  </w:style>
  <w:style w:type="paragraph" w:styleId="TOC1">
    <w:name w:val="toc 1"/>
    <w:basedOn w:val="Normal"/>
    <w:next w:val="Normal"/>
    <w:autoRedefine/>
    <w:uiPriority w:val="39"/>
    <w:unhideWhenUsed/>
    <w:rsid w:val="00204123"/>
    <w:pPr>
      <w:tabs>
        <w:tab w:val="right" w:leader="underscore" w:pos="9016"/>
      </w:tabs>
      <w:spacing w:before="120"/>
    </w:pPr>
    <w:rPr>
      <w:rFonts w:cstheme="minorHAnsi"/>
      <w:noProof/>
      <w:szCs w:val="24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E109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974"/>
    <w:rPr>
      <w:kern w:val="0"/>
      <w:sz w:val="22"/>
      <w:szCs w:val="22"/>
      <w:lang w:val="nb-N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109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974"/>
    <w:rPr>
      <w:kern w:val="0"/>
      <w:sz w:val="22"/>
      <w:szCs w:val="22"/>
      <w:lang w:val="nb-NO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10974"/>
  </w:style>
  <w:style w:type="paragraph" w:styleId="Title">
    <w:name w:val="Title"/>
    <w:basedOn w:val="Normal"/>
    <w:next w:val="Normal"/>
    <w:link w:val="TitleChar"/>
    <w:uiPriority w:val="10"/>
    <w:qFormat/>
    <w:rsid w:val="00B639D6"/>
    <w:pPr>
      <w:contextualSpacing/>
    </w:pPr>
    <w:rPr>
      <w:rFonts w:eastAsiaTheme="majorEastAsia" w:cstheme="majorBidi"/>
      <w:color w:val="auto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9D6"/>
    <w:rPr>
      <w:rFonts w:eastAsiaTheme="majorEastAsia" w:cstheme="majorBidi"/>
      <w:color w:val="auto"/>
      <w:spacing w:val="-10"/>
      <w:kern w:val="28"/>
      <w:sz w:val="72"/>
      <w:szCs w:val="56"/>
    </w:rPr>
  </w:style>
  <w:style w:type="paragraph" w:styleId="TOC2">
    <w:name w:val="toc 2"/>
    <w:basedOn w:val="Normal"/>
    <w:next w:val="Normal"/>
    <w:autoRedefine/>
    <w:uiPriority w:val="39"/>
    <w:unhideWhenUsed/>
    <w:rsid w:val="00437EAF"/>
    <w:pPr>
      <w:spacing w:before="120"/>
      <w:ind w:left="28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37EAF"/>
    <w:pPr>
      <w:ind w:left="56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37EAF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37EAF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37EAF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37EAF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37EAF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37EAF"/>
    <w:pPr>
      <w:ind w:left="2240"/>
    </w:pPr>
    <w:rPr>
      <w:rFonts w:asciiTheme="minorHAnsi" w:hAnsiTheme="minorHAnsi" w:cs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D2619"/>
    <w:rPr>
      <w:rFonts w:ascii="Karelia Medium" w:eastAsiaTheme="majorEastAsia" w:hAnsi="Karelia Medium" w:cstheme="majorBidi"/>
      <w:b/>
      <w:color w:val="121212" w:themeColor="text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E4A"/>
    <w:pPr>
      <w:numPr>
        <w:ilvl w:val="1"/>
      </w:numPr>
    </w:pPr>
    <w:rPr>
      <w:rFonts w:eastAsiaTheme="minorEastAsia" w:cs="Times New Roman (Body CS)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C7E4A"/>
    <w:rPr>
      <w:rFonts w:eastAsiaTheme="minorEastAsia" w:cs="Times New Roman (Body CS)"/>
      <w:spacing w:val="15"/>
      <w:sz w:val="22"/>
      <w:szCs w:val="22"/>
    </w:rPr>
  </w:style>
  <w:style w:type="character" w:styleId="SubtleReference">
    <w:name w:val="Subtle Reference"/>
    <w:basedOn w:val="DefaultParagraphFont"/>
    <w:uiPriority w:val="31"/>
    <w:qFormat/>
    <w:rsid w:val="009940F7"/>
    <w:rPr>
      <w:rFonts w:ascii="Karelia Medium" w:hAnsi="Karelia Medium"/>
      <w:b/>
      <w:i w:val="0"/>
      <w:caps w:val="0"/>
      <w:smallCaps w:val="0"/>
      <w:color w:val="000000" w:themeColor="text1"/>
      <w:sz w:val="20"/>
    </w:rPr>
  </w:style>
  <w:style w:type="character" w:styleId="IntenseReference">
    <w:name w:val="Intense Reference"/>
    <w:basedOn w:val="DefaultParagraphFont"/>
    <w:uiPriority w:val="32"/>
    <w:qFormat/>
    <w:rsid w:val="00BC7E4A"/>
    <w:rPr>
      <w:rFonts w:ascii="Karelia Regular" w:hAnsi="Karelia Regular"/>
      <w:b/>
      <w:bCs/>
      <w:smallCaps/>
      <w:color w:val="FF8946" w:themeColor="accent1"/>
      <w:spacing w:val="5"/>
    </w:rPr>
  </w:style>
  <w:style w:type="paragraph" w:styleId="ListParagraph">
    <w:name w:val="List Paragraph"/>
    <w:basedOn w:val="Normal"/>
    <w:uiPriority w:val="34"/>
    <w:qFormat/>
    <w:rsid w:val="00B639D6"/>
    <w:pPr>
      <w:ind w:left="720"/>
      <w:contextualSpacing/>
    </w:pPr>
  </w:style>
  <w:style w:type="paragraph" w:styleId="NoSpacing">
    <w:name w:val="No Spacing"/>
    <w:aliases w:val="Normal (Bullet)"/>
    <w:uiPriority w:val="1"/>
    <w:qFormat/>
    <w:rsid w:val="004C3AA3"/>
    <w:rPr>
      <w:rFonts w:ascii="Karelia Medium" w:hAnsi="Karelia Medium"/>
      <w:b/>
      <w:sz w:val="24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973C1A"/>
    <w:pPr>
      <w:spacing w:before="200" w:after="160"/>
    </w:pPr>
    <w:rPr>
      <w:rFonts w:ascii="Karelia Medium" w:hAnsi="Karelia Medium"/>
      <w:b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973C1A"/>
    <w:rPr>
      <w:rFonts w:ascii="Karelia Medium" w:hAnsi="Karelia Medium"/>
      <w:b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D2619"/>
    <w:rPr>
      <w:rFonts w:eastAsiaTheme="majorEastAsia" w:cstheme="majorBidi"/>
      <w:color w:val="121212" w:themeColor="text2"/>
      <w:sz w:val="24"/>
      <w:szCs w:val="24"/>
    </w:rPr>
  </w:style>
  <w:style w:type="table" w:styleId="TableGrid">
    <w:name w:val="Table Grid"/>
    <w:basedOn w:val="TableNormal"/>
    <w:uiPriority w:val="39"/>
    <w:rsid w:val="00382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F0D44"/>
    <w:rPr>
      <w:color w:val="605E5C"/>
      <w:shd w:val="clear" w:color="auto" w:fill="E1DFDD"/>
    </w:rPr>
  </w:style>
  <w:style w:type="paragraph" w:customStyle="1" w:styleId="04xlpa">
    <w:name w:val="_04xlpa"/>
    <w:basedOn w:val="Normal"/>
    <w:rsid w:val="0028498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customStyle="1" w:styleId="wdyuqq">
    <w:name w:val="wdyuqq"/>
    <w:basedOn w:val="DefaultParagraphFont"/>
    <w:rsid w:val="0028498F"/>
  </w:style>
  <w:style w:type="character" w:customStyle="1" w:styleId="ql-cursor">
    <w:name w:val="ql-cursor"/>
    <w:basedOn w:val="DefaultParagraphFont"/>
    <w:rsid w:val="00141887"/>
  </w:style>
  <w:style w:type="character" w:styleId="CommentReference">
    <w:name w:val="annotation reference"/>
    <w:basedOn w:val="DefaultParagraphFont"/>
    <w:uiPriority w:val="99"/>
    <w:semiHidden/>
    <w:unhideWhenUsed/>
    <w:rsid w:val="005E3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4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4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420"/>
    <w:rPr>
      <w:b/>
      <w:bCs/>
      <w:sz w:val="20"/>
      <w:szCs w:val="20"/>
    </w:rPr>
  </w:style>
  <w:style w:type="table" w:customStyle="1" w:styleId="Tabellrutenett2">
    <w:name w:val="Tabellrutenett2"/>
    <w:basedOn w:val="TableNormal"/>
    <w:uiPriority w:val="39"/>
    <w:rsid w:val="00185ACC"/>
    <w:rPr>
      <w:rFonts w:asciiTheme="minorHAnsi" w:eastAsia="Calibri" w:hAnsiTheme="minorHAnsi" w:cstheme="minorBidi"/>
      <w:color w:val="auto"/>
      <w:kern w:val="2"/>
      <w:sz w:val="24"/>
      <w:szCs w:val="24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C3EF5"/>
    <w:rPr>
      <w:color w:val="FFE775" w:themeColor="followedHyperlink"/>
      <w:u w:val="single"/>
    </w:rPr>
  </w:style>
  <w:style w:type="table" w:styleId="GridTable3-Accent1">
    <w:name w:val="Grid Table 3 Accent 1"/>
    <w:basedOn w:val="TableNormal"/>
    <w:uiPriority w:val="48"/>
    <w:rsid w:val="00B216AD"/>
    <w:rPr>
      <w:rFonts w:ascii="Proof Book" w:hAnsi="Proof Book" w:cstheme="minorBidi"/>
      <w:color w:val="auto"/>
      <w:sz w:val="22"/>
      <w:szCs w:val="22"/>
      <w:lang w:val="nb-NO"/>
    </w:rPr>
    <w:tblPr>
      <w:tblStyleRowBandSize w:val="1"/>
      <w:tblStyleColBandSize w:val="1"/>
      <w:tblBorders>
        <w:top w:val="single" w:sz="4" w:space="0" w:color="FFB890" w:themeColor="accent1" w:themeTint="99"/>
        <w:left w:val="single" w:sz="4" w:space="0" w:color="FFB890" w:themeColor="accent1" w:themeTint="99"/>
        <w:bottom w:val="single" w:sz="4" w:space="0" w:color="FFB890" w:themeColor="accent1" w:themeTint="99"/>
        <w:right w:val="single" w:sz="4" w:space="0" w:color="FFB890" w:themeColor="accent1" w:themeTint="99"/>
        <w:insideH w:val="single" w:sz="4" w:space="0" w:color="FFB890" w:themeColor="accent1" w:themeTint="99"/>
        <w:insideV w:val="single" w:sz="4" w:space="0" w:color="FFB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DA" w:themeFill="accent1" w:themeFillTint="33"/>
      </w:tcPr>
    </w:tblStylePr>
    <w:tblStylePr w:type="band1Horz">
      <w:tblPr/>
      <w:tcPr>
        <w:shd w:val="clear" w:color="auto" w:fill="FFE7DA" w:themeFill="accent1" w:themeFillTint="33"/>
      </w:tcPr>
    </w:tblStylePr>
    <w:tblStylePr w:type="neCell">
      <w:tblPr/>
      <w:tcPr>
        <w:tcBorders>
          <w:bottom w:val="single" w:sz="4" w:space="0" w:color="FFB890" w:themeColor="accent1" w:themeTint="99"/>
        </w:tcBorders>
      </w:tcPr>
    </w:tblStylePr>
    <w:tblStylePr w:type="nwCell">
      <w:tblPr/>
      <w:tcPr>
        <w:tcBorders>
          <w:bottom w:val="single" w:sz="4" w:space="0" w:color="FFB890" w:themeColor="accent1" w:themeTint="99"/>
        </w:tcBorders>
      </w:tcPr>
    </w:tblStylePr>
    <w:tblStylePr w:type="seCell">
      <w:tblPr/>
      <w:tcPr>
        <w:tcBorders>
          <w:top w:val="single" w:sz="4" w:space="0" w:color="FFB890" w:themeColor="accent1" w:themeTint="99"/>
        </w:tcBorders>
      </w:tcPr>
    </w:tblStylePr>
    <w:tblStylePr w:type="swCell">
      <w:tblPr/>
      <w:tcPr>
        <w:tcBorders>
          <w:top w:val="single" w:sz="4" w:space="0" w:color="FFB890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1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png@01D9501B.9BEF4A7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cid:image002.png@01D9501B.9BEF4A70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SEMINE Theme">
      <a:dk1>
        <a:srgbClr val="000000"/>
      </a:dk1>
      <a:lt1>
        <a:srgbClr val="FFFFFF"/>
      </a:lt1>
      <a:dk2>
        <a:srgbClr val="121212"/>
      </a:dk2>
      <a:lt2>
        <a:srgbClr val="CFD3E2"/>
      </a:lt2>
      <a:accent1>
        <a:srgbClr val="FF8946"/>
      </a:accent1>
      <a:accent2>
        <a:srgbClr val="FFE775"/>
      </a:accent2>
      <a:accent3>
        <a:srgbClr val="FF8878"/>
      </a:accent3>
      <a:accent4>
        <a:srgbClr val="D0F2C3"/>
      </a:accent4>
      <a:accent5>
        <a:srgbClr val="FFC1B8"/>
      </a:accent5>
      <a:accent6>
        <a:srgbClr val="FFF0A8"/>
      </a:accent6>
      <a:hlink>
        <a:srgbClr val="D6E0FD"/>
      </a:hlink>
      <a:folHlink>
        <a:srgbClr val="FFE77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F2ED402C38DE47B3C9C0A6B9A382ED" ma:contentTypeVersion="17" ma:contentTypeDescription="Opprett et nytt dokument." ma:contentTypeScope="" ma:versionID="5587553a0825cdc1886b96fa83b4b30c">
  <xsd:schema xmlns:xsd="http://www.w3.org/2001/XMLSchema" xmlns:xs="http://www.w3.org/2001/XMLSchema" xmlns:p="http://schemas.microsoft.com/office/2006/metadata/properties" xmlns:ns2="7356cc15-88b5-4f0d-854f-0d54555b4f22" xmlns:ns3="d0aedd9a-9a84-4af8-8a1a-1791cb93b9b7" targetNamespace="http://schemas.microsoft.com/office/2006/metadata/properties" ma:root="true" ma:fieldsID="e4ee45eb6c85ee0c9652189efc6f9740" ns2:_="" ns3:_="">
    <xsd:import namespace="7356cc15-88b5-4f0d-854f-0d54555b4f22"/>
    <xsd:import namespace="d0aedd9a-9a84-4af8-8a1a-1791cb93b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6cc15-88b5-4f0d-854f-0d54555b4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0acb950a-e903-40cf-bb85-9764c587c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edd9a-9a84-4af8-8a1a-1791cb93b9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9152cf-8c82-4c8b-9bc2-86c69f6d43be}" ma:internalName="TaxCatchAll" ma:showField="CatchAllData" ma:web="d0aedd9a-9a84-4af8-8a1a-1791cb93b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aedd9a-9a84-4af8-8a1a-1791cb93b9b7" xsi:nil="true"/>
    <lcf76f155ced4ddcb4097134ff3c332f xmlns="7356cc15-88b5-4f0d-854f-0d54555b4f2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A790C2-82C9-4749-AD8D-3A3C48197C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07AC6A-D1C8-4C9E-9980-9C0CB92CA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6cc15-88b5-4f0d-854f-0d54555b4f22"/>
    <ds:schemaRef ds:uri="d0aedd9a-9a84-4af8-8a1a-1791cb93b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73B26C-DC89-4D4F-84F3-D88097A93478}">
  <ds:schemaRefs>
    <ds:schemaRef ds:uri="http://schemas.microsoft.com/office/2006/metadata/properties"/>
    <ds:schemaRef ds:uri="http://schemas.microsoft.com/office/infopath/2007/PartnerControls"/>
    <ds:schemaRef ds:uri="d0aedd9a-9a84-4af8-8a1a-1791cb93b9b7"/>
    <ds:schemaRef ds:uri="7356cc15-88b5-4f0d-854f-0d54555b4f22"/>
  </ds:schemaRefs>
</ds:datastoreItem>
</file>

<file path=customXml/itemProps4.xml><?xml version="1.0" encoding="utf-8"?>
<ds:datastoreItem xmlns:ds="http://schemas.openxmlformats.org/officeDocument/2006/customXml" ds:itemID="{5ED2994C-253A-E441-9BD1-2B05F295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429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Mandeep Seehra</dc:creator>
  <cp:keywords/>
  <dc:description/>
  <cp:lastModifiedBy>Kim Ohme Pedersen</cp:lastModifiedBy>
  <cp:revision>8</cp:revision>
  <dcterms:created xsi:type="dcterms:W3CDTF">2024-12-17T08:56:00Z</dcterms:created>
  <dcterms:modified xsi:type="dcterms:W3CDTF">2024-12-17T09:01:00Z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0x01010013F2ED402C38DE47B3C9C0A6B9A382ED</vt:lpwstr>
  </property>
  <property fmtid="{D5CDD505-2E9C-101B-9397-08002B2CF9AE}" pid="3" name="MediaServiceImageTags">
    <vt:lpwstr/>
  </property>
</Properties>
</file>